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84A22" w14:textId="77777777" w:rsidR="00CC02D8" w:rsidRDefault="00563949" w:rsidP="00CC02D8">
      <w:pPr>
        <w:spacing w:after="0"/>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zak</w:t>
      </w:r>
      <w:proofErr w:type="spellEnd"/>
      <w:r w:rsidR="00CC02D8" w:rsidRPr="00CC02D8">
        <w:rPr>
          <w:noProof/>
          <w:lang w:eastAsia="hu-HU"/>
        </w:rPr>
        <w:drawing>
          <wp:inline distT="0" distB="0" distL="0" distR="0" wp14:anchorId="17039F0F" wp14:editId="00F9BE05">
            <wp:extent cx="1844040" cy="701156"/>
            <wp:effectExtent l="0" t="0" r="3810" b="3810"/>
            <wp:docPr id="2" name="Kép 2" descr="G:\logok\EOGY_RGB-gyujtem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k\EOGY_RGB-gyujtemeny.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64647" cy="708991"/>
                    </a:xfrm>
                    <a:prstGeom prst="rect">
                      <a:avLst/>
                    </a:prstGeom>
                    <a:noFill/>
                    <a:ln>
                      <a:noFill/>
                    </a:ln>
                  </pic:spPr>
                </pic:pic>
              </a:graphicData>
            </a:graphic>
          </wp:inline>
        </w:drawing>
      </w:r>
      <w:r w:rsidR="00CC02D8" w:rsidRPr="00CC02D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C02D8">
        <w:rPr>
          <w:noProof/>
          <w:lang w:eastAsia="hu-HU"/>
        </w:rPr>
        <w:t xml:space="preserve"> </w:t>
      </w:r>
      <w:r w:rsidR="00CC02D8">
        <w:rPr>
          <w:noProof/>
          <w:lang w:eastAsia="hu-HU"/>
        </w:rPr>
        <w:tab/>
      </w:r>
      <w:r w:rsidR="00CC02D8">
        <w:rPr>
          <w:noProof/>
          <w:lang w:eastAsia="hu-HU"/>
        </w:rPr>
        <w:tab/>
      </w:r>
      <w:r w:rsidR="00CC02D8">
        <w:rPr>
          <w:noProof/>
          <w:lang w:eastAsia="hu-HU"/>
        </w:rPr>
        <w:tab/>
        <w:t xml:space="preserve">              </w:t>
      </w:r>
      <w:r w:rsidR="00CC02D8">
        <w:rPr>
          <w:noProof/>
          <w:lang w:eastAsia="hu-HU"/>
        </w:rPr>
        <w:tab/>
      </w:r>
      <w:r w:rsidR="00CC02D8" w:rsidRPr="00CC02D8">
        <w:rPr>
          <w:noProof/>
          <w:lang w:eastAsia="hu-HU"/>
        </w:rPr>
        <w:drawing>
          <wp:inline distT="0" distB="0" distL="0" distR="0" wp14:anchorId="07FB88CE" wp14:editId="57BC0926">
            <wp:extent cx="1843735" cy="701040"/>
            <wp:effectExtent l="0" t="0" r="4445" b="3810"/>
            <wp:docPr id="3" name="Kép 3" descr="G:\logok\EOGY_RGB-muz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gok\EOGY_RGB-muzeu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60743" cy="707507"/>
                    </a:xfrm>
                    <a:prstGeom prst="rect">
                      <a:avLst/>
                    </a:prstGeom>
                    <a:noFill/>
                    <a:ln>
                      <a:noFill/>
                    </a:ln>
                  </pic:spPr>
                </pic:pic>
              </a:graphicData>
            </a:graphic>
          </wp:inline>
        </w:drawing>
      </w:r>
    </w:p>
    <w:p w14:paraId="4EA0E413" w14:textId="77777777" w:rsidR="00CC02D8" w:rsidRDefault="00CC02D8" w:rsidP="00CC02D8">
      <w:pPr>
        <w:spacing w:after="0"/>
      </w:pPr>
    </w:p>
    <w:p w14:paraId="0D5A920F" w14:textId="77777777" w:rsidR="00CC02D8" w:rsidRDefault="00CC02D8" w:rsidP="00CC02D8">
      <w:pPr>
        <w:spacing w:after="0"/>
      </w:pPr>
    </w:p>
    <w:p w14:paraId="66A2052A" w14:textId="77777777" w:rsidR="00CA2858" w:rsidRDefault="00CC02D8" w:rsidP="00CC02D8">
      <w:pPr>
        <w:spacing w:after="0"/>
        <w:jc w:val="center"/>
        <w:rPr>
          <w:b/>
          <w:sz w:val="28"/>
        </w:rPr>
      </w:pPr>
      <w:r w:rsidRPr="00CC02D8">
        <w:rPr>
          <w:b/>
          <w:sz w:val="28"/>
        </w:rPr>
        <w:t>SZAKMAI BESZÁMOLÓ</w:t>
      </w:r>
    </w:p>
    <w:p w14:paraId="70AD138A" w14:textId="77777777" w:rsidR="00CC02D8" w:rsidRPr="00CC02D8" w:rsidRDefault="00CC02D8" w:rsidP="00CC02D8">
      <w:pPr>
        <w:spacing w:after="0"/>
        <w:jc w:val="center"/>
        <w:rPr>
          <w:b/>
          <w:sz w:val="28"/>
        </w:rPr>
      </w:pPr>
      <w:r>
        <w:rPr>
          <w:b/>
          <w:sz w:val="28"/>
        </w:rPr>
        <w:t>Múzeumi műtárgyak szerzeményezése</w:t>
      </w:r>
    </w:p>
    <w:p w14:paraId="3AD39BEE" w14:textId="77777777" w:rsidR="00CC02D8" w:rsidRDefault="00CC02D8" w:rsidP="00CC02D8">
      <w:pPr>
        <w:spacing w:after="0"/>
        <w:jc w:val="center"/>
        <w:rPr>
          <w:b/>
          <w:sz w:val="28"/>
        </w:rPr>
      </w:pPr>
      <w:r w:rsidRPr="00CC02D8">
        <w:rPr>
          <w:b/>
          <w:sz w:val="28"/>
        </w:rPr>
        <w:t xml:space="preserve">Azonosító szám: </w:t>
      </w:r>
      <w:r w:rsidR="00C7353E" w:rsidRPr="00C7353E">
        <w:rPr>
          <w:b/>
          <w:sz w:val="28"/>
        </w:rPr>
        <w:t>105109/00535</w:t>
      </w:r>
    </w:p>
    <w:p w14:paraId="6311CA9B" w14:textId="77777777" w:rsidR="00CC02D8" w:rsidRDefault="00CC02D8" w:rsidP="00CC02D8">
      <w:pPr>
        <w:spacing w:after="0"/>
        <w:rPr>
          <w:b/>
          <w:sz w:val="24"/>
        </w:rPr>
      </w:pPr>
    </w:p>
    <w:p w14:paraId="3C9691A6" w14:textId="77777777" w:rsidR="00CC02D8" w:rsidRDefault="00CC02D8" w:rsidP="00CC02D8">
      <w:pPr>
        <w:spacing w:after="0"/>
        <w:rPr>
          <w:rFonts w:ascii="MiloPro" w:hAnsi="MiloPro" w:cstheme="minorHAnsi"/>
          <w:b/>
          <w:color w:val="767171" w:themeColor="background2" w:themeShade="80"/>
          <w:sz w:val="28"/>
          <w:szCs w:val="24"/>
        </w:rPr>
      </w:pPr>
    </w:p>
    <w:p w14:paraId="775E5203" w14:textId="77777777" w:rsidR="00CC02D8" w:rsidRDefault="00CC02D8" w:rsidP="00CC02D8">
      <w:pPr>
        <w:spacing w:after="0"/>
        <w:rPr>
          <w:rFonts w:ascii="MiloPro" w:hAnsi="MiloPro" w:cstheme="minorHAnsi"/>
          <w:sz w:val="24"/>
          <w:szCs w:val="24"/>
        </w:rPr>
      </w:pPr>
      <w:r w:rsidRPr="00866A0E">
        <w:rPr>
          <w:rFonts w:ascii="MiloPro" w:hAnsi="MiloPro" w:cstheme="minorHAnsi"/>
          <w:sz w:val="24"/>
          <w:szCs w:val="24"/>
        </w:rPr>
        <w:t xml:space="preserve">Az NKA pályázati támogatásával </w:t>
      </w:r>
      <w:r>
        <w:rPr>
          <w:rFonts w:ascii="MiloPro" w:hAnsi="MiloPro" w:cstheme="minorHAnsi"/>
          <w:sz w:val="24"/>
          <w:szCs w:val="24"/>
        </w:rPr>
        <w:t xml:space="preserve">tudtuk megvásárolni </w:t>
      </w:r>
      <w:proofErr w:type="spellStart"/>
      <w:r w:rsidR="00C7353E">
        <w:rPr>
          <w:rFonts w:ascii="MiloPro" w:hAnsi="MiloPro" w:cstheme="minorHAnsi"/>
          <w:sz w:val="24"/>
          <w:szCs w:val="24"/>
        </w:rPr>
        <w:t>Matzon</w:t>
      </w:r>
      <w:proofErr w:type="spellEnd"/>
      <w:r w:rsidR="00C7353E">
        <w:rPr>
          <w:rFonts w:ascii="MiloPro" w:hAnsi="MiloPro" w:cstheme="minorHAnsi"/>
          <w:sz w:val="24"/>
          <w:szCs w:val="24"/>
        </w:rPr>
        <w:t xml:space="preserve"> Ákos Találkozási pont – szám nélkül c. munkáját. </w:t>
      </w:r>
    </w:p>
    <w:p w14:paraId="787D2C94" w14:textId="77777777" w:rsidR="00CC02D8" w:rsidRDefault="00CC02D8" w:rsidP="00CC02D8">
      <w:pPr>
        <w:spacing w:after="0"/>
        <w:ind w:firstLine="708"/>
        <w:rPr>
          <w:rFonts w:ascii="MiloPro" w:hAnsi="MiloPro" w:cstheme="minorHAnsi"/>
          <w:sz w:val="24"/>
          <w:szCs w:val="24"/>
        </w:rPr>
      </w:pPr>
      <w:r>
        <w:rPr>
          <w:rFonts w:ascii="MiloPro" w:hAnsi="MiloPro" w:cstheme="minorHAnsi"/>
          <w:sz w:val="24"/>
          <w:szCs w:val="24"/>
        </w:rPr>
        <w:t>A pályázat beadásakor benyújtott gyarapítási koncepcióban leírtak szerint a mű nemcs</w:t>
      </w:r>
      <w:r w:rsidR="00343AF0">
        <w:rPr>
          <w:rFonts w:ascii="MiloPro" w:hAnsi="MiloPro" w:cstheme="minorHAnsi"/>
          <w:sz w:val="24"/>
          <w:szCs w:val="24"/>
        </w:rPr>
        <w:t>ak szellemiségükben illeszkedik</w:t>
      </w:r>
      <w:r>
        <w:rPr>
          <w:rFonts w:ascii="MiloPro" w:hAnsi="MiloPro" w:cstheme="minorHAnsi"/>
          <w:sz w:val="24"/>
          <w:szCs w:val="24"/>
        </w:rPr>
        <w:t xml:space="preserve"> az evangé</w:t>
      </w:r>
      <w:r w:rsidR="00BF19D3">
        <w:rPr>
          <w:rFonts w:ascii="MiloPro" w:hAnsi="MiloPro" w:cstheme="minorHAnsi"/>
          <w:sz w:val="24"/>
          <w:szCs w:val="24"/>
        </w:rPr>
        <w:t>l</w:t>
      </w:r>
      <w:r>
        <w:rPr>
          <w:rFonts w:ascii="MiloPro" w:hAnsi="MiloPro" w:cstheme="minorHAnsi"/>
          <w:sz w:val="24"/>
          <w:szCs w:val="24"/>
        </w:rPr>
        <w:t xml:space="preserve">ikus múzeum </w:t>
      </w:r>
      <w:r w:rsidR="00343AF0">
        <w:rPr>
          <w:rFonts w:ascii="MiloPro" w:hAnsi="MiloPro" w:cstheme="minorHAnsi"/>
          <w:sz w:val="24"/>
          <w:szCs w:val="24"/>
        </w:rPr>
        <w:t xml:space="preserve">szépen </w:t>
      </w:r>
      <w:r w:rsidR="00BF19D3">
        <w:rPr>
          <w:rFonts w:ascii="MiloPro" w:hAnsi="MiloPro" w:cstheme="minorHAnsi"/>
          <w:sz w:val="24"/>
          <w:szCs w:val="24"/>
        </w:rPr>
        <w:t xml:space="preserve">épülő </w:t>
      </w:r>
      <w:r>
        <w:rPr>
          <w:rFonts w:ascii="MiloPro" w:hAnsi="MiloPro" w:cstheme="minorHAnsi"/>
          <w:sz w:val="24"/>
          <w:szCs w:val="24"/>
        </w:rPr>
        <w:t xml:space="preserve">kortárs </w:t>
      </w:r>
      <w:r w:rsidR="00BF19D3">
        <w:rPr>
          <w:rFonts w:ascii="MiloPro" w:hAnsi="MiloPro" w:cstheme="minorHAnsi"/>
          <w:sz w:val="24"/>
          <w:szCs w:val="24"/>
        </w:rPr>
        <w:t xml:space="preserve">gyűjteményébe, hanem </w:t>
      </w:r>
      <w:r w:rsidR="00C7353E">
        <w:rPr>
          <w:rFonts w:ascii="MiloPro" w:hAnsi="MiloPro" w:cstheme="minorHAnsi"/>
          <w:sz w:val="24"/>
          <w:szCs w:val="24"/>
        </w:rPr>
        <w:t xml:space="preserve">szorosan kapcsolódik a </w:t>
      </w:r>
      <w:proofErr w:type="spellStart"/>
      <w:r w:rsidR="00C7353E">
        <w:rPr>
          <w:rFonts w:ascii="MiloPro" w:hAnsi="MiloPro" w:cstheme="minorHAnsi"/>
          <w:sz w:val="24"/>
          <w:szCs w:val="24"/>
        </w:rPr>
        <w:t>Sándy</w:t>
      </w:r>
      <w:proofErr w:type="spellEnd"/>
      <w:r w:rsidR="00C7353E">
        <w:rPr>
          <w:rFonts w:ascii="MiloPro" w:hAnsi="MiloPro" w:cstheme="minorHAnsi"/>
          <w:sz w:val="24"/>
          <w:szCs w:val="24"/>
        </w:rPr>
        <w:t xml:space="preserve"> Gyula – Konok Tamás fémjelezte </w:t>
      </w:r>
      <w:r w:rsidR="00343AF0">
        <w:rPr>
          <w:rFonts w:ascii="MiloPro" w:hAnsi="MiloPro" w:cstheme="minorHAnsi"/>
          <w:sz w:val="24"/>
          <w:szCs w:val="24"/>
        </w:rPr>
        <w:t>(</w:t>
      </w:r>
      <w:r w:rsidR="00C7353E">
        <w:rPr>
          <w:rFonts w:ascii="MiloPro" w:hAnsi="MiloPro" w:cstheme="minorHAnsi"/>
          <w:sz w:val="24"/>
          <w:szCs w:val="24"/>
        </w:rPr>
        <w:t>evangélikus</w:t>
      </w:r>
      <w:r w:rsidR="00343AF0">
        <w:rPr>
          <w:rFonts w:ascii="MiloPro" w:hAnsi="MiloPro" w:cstheme="minorHAnsi"/>
          <w:sz w:val="24"/>
          <w:szCs w:val="24"/>
        </w:rPr>
        <w:t>)</w:t>
      </w:r>
      <w:r w:rsidR="00C7353E">
        <w:rPr>
          <w:rFonts w:ascii="MiloPro" w:hAnsi="MiloPro" w:cstheme="minorHAnsi"/>
          <w:sz w:val="24"/>
          <w:szCs w:val="24"/>
        </w:rPr>
        <w:t xml:space="preserve"> örökséghez is, és mint valódi közösségi térhez, találkozási ponthoz, az Esterházy Péter és Gitta Könyvtárhoz is kötöttük, ennek előterében helyeztük el.</w:t>
      </w:r>
    </w:p>
    <w:p w14:paraId="752434C1" w14:textId="77777777" w:rsidR="00343AF0" w:rsidRDefault="00343AF0" w:rsidP="00CC02D8">
      <w:pPr>
        <w:spacing w:after="0"/>
        <w:ind w:firstLine="708"/>
        <w:rPr>
          <w:rFonts w:ascii="MiloPro" w:hAnsi="MiloPro" w:cstheme="minorHAnsi"/>
          <w:sz w:val="24"/>
          <w:szCs w:val="24"/>
        </w:rPr>
      </w:pPr>
    </w:p>
    <w:p w14:paraId="0908CE39" w14:textId="77777777" w:rsidR="00C7353E" w:rsidRPr="00866A0E" w:rsidRDefault="00C7353E" w:rsidP="00343AF0">
      <w:pPr>
        <w:spacing w:after="0"/>
        <w:ind w:firstLine="708"/>
        <w:jc w:val="center"/>
        <w:rPr>
          <w:rFonts w:ascii="MiloPro" w:hAnsi="MiloPro" w:cstheme="minorHAnsi"/>
          <w:sz w:val="24"/>
          <w:szCs w:val="24"/>
        </w:rPr>
      </w:pPr>
      <w:r>
        <w:rPr>
          <w:rFonts w:ascii="MiloPro" w:hAnsi="MiloPro" w:cstheme="minorHAnsi"/>
          <w:noProof/>
          <w:sz w:val="24"/>
          <w:szCs w:val="24"/>
          <w:lang w:eastAsia="hu-HU"/>
        </w:rPr>
        <w:drawing>
          <wp:inline distT="0" distB="0" distL="0" distR="0" wp14:anchorId="63B7D2A1" wp14:editId="1E184827">
            <wp:extent cx="3756660" cy="3240578"/>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5870" t="8160" r="21255" b="10444"/>
                    <a:stretch/>
                  </pic:blipFill>
                  <pic:spPr bwMode="auto">
                    <a:xfrm>
                      <a:off x="0" y="0"/>
                      <a:ext cx="3788931" cy="3268415"/>
                    </a:xfrm>
                    <a:prstGeom prst="rect">
                      <a:avLst/>
                    </a:prstGeom>
                    <a:noFill/>
                    <a:ln>
                      <a:noFill/>
                    </a:ln>
                    <a:extLst>
                      <a:ext uri="{53640926-AAD7-44D8-BBD7-CCE9431645EC}">
                        <a14:shadowObscured xmlns:a14="http://schemas.microsoft.com/office/drawing/2010/main"/>
                      </a:ext>
                    </a:extLst>
                  </pic:spPr>
                </pic:pic>
              </a:graphicData>
            </a:graphic>
          </wp:inline>
        </w:drawing>
      </w:r>
    </w:p>
    <w:p w14:paraId="31DC08CB" w14:textId="77777777" w:rsidR="00BF19D3" w:rsidRDefault="00BF19D3" w:rsidP="00BF19D3">
      <w:pPr>
        <w:spacing w:after="0"/>
        <w:ind w:firstLine="708"/>
        <w:jc w:val="both"/>
        <w:rPr>
          <w:rFonts w:ascii="MiloPro" w:hAnsi="MiloPro" w:cstheme="minorHAnsi"/>
          <w:sz w:val="24"/>
          <w:szCs w:val="24"/>
        </w:rPr>
      </w:pPr>
    </w:p>
    <w:p w14:paraId="614A3467" w14:textId="77777777" w:rsidR="00343AF0" w:rsidRDefault="00343AF0" w:rsidP="00343AF0">
      <w:pPr>
        <w:spacing w:after="0"/>
        <w:ind w:firstLine="708"/>
        <w:jc w:val="both"/>
        <w:rPr>
          <w:rFonts w:ascii="MiloPro" w:hAnsi="MiloPro" w:cstheme="minorHAnsi"/>
          <w:sz w:val="24"/>
          <w:szCs w:val="24"/>
        </w:rPr>
      </w:pPr>
      <w:proofErr w:type="spellStart"/>
      <w:r>
        <w:rPr>
          <w:rFonts w:ascii="MiloPro" w:hAnsi="MiloPro" w:cstheme="minorHAnsi"/>
          <w:sz w:val="24"/>
          <w:szCs w:val="24"/>
        </w:rPr>
        <w:t>Matzon</w:t>
      </w:r>
      <w:proofErr w:type="spellEnd"/>
      <w:r>
        <w:rPr>
          <w:rFonts w:ascii="MiloPro" w:hAnsi="MiloPro" w:cstheme="minorHAnsi"/>
          <w:sz w:val="24"/>
          <w:szCs w:val="24"/>
        </w:rPr>
        <w:t xml:space="preserve"> művészete tisztán geometrikus művészet</w:t>
      </w:r>
      <w:r w:rsidRPr="00343AF0">
        <w:rPr>
          <w:rFonts w:ascii="MiloPro" w:hAnsi="MiloPro" w:cstheme="minorHAnsi"/>
          <w:sz w:val="24"/>
          <w:szCs w:val="24"/>
        </w:rPr>
        <w:t xml:space="preserve">, amelynek nem is volt figurális előzménye az életműben. „Számára – olvasható </w:t>
      </w:r>
      <w:r>
        <w:rPr>
          <w:rFonts w:ascii="MiloPro" w:hAnsi="MiloPro" w:cstheme="minorHAnsi"/>
          <w:sz w:val="24"/>
          <w:szCs w:val="24"/>
        </w:rPr>
        <w:t>tavalyi, műcsarnoki</w:t>
      </w:r>
      <w:r w:rsidRPr="00343AF0">
        <w:rPr>
          <w:rFonts w:ascii="MiloPro" w:hAnsi="MiloPro" w:cstheme="minorHAnsi"/>
          <w:sz w:val="24"/>
          <w:szCs w:val="24"/>
        </w:rPr>
        <w:t xml:space="preserve"> kiállításával kapcsolatban Rockenbauer Zoltántól – azonban a geometria nem pusztán vizuális játék, hanem olyasvalami, ami transzcendentális jelentést hordoz. És ezzel az értelmezési faktorral valójában megtagadja az abszolút festészet alapvetését, a hagyományosan tárgynélküli megközelítést, amely </w:t>
      </w:r>
      <w:proofErr w:type="spellStart"/>
      <w:r w:rsidRPr="00343AF0">
        <w:rPr>
          <w:rFonts w:ascii="MiloPro" w:hAnsi="MiloPro" w:cstheme="minorHAnsi"/>
          <w:sz w:val="24"/>
          <w:szCs w:val="24"/>
        </w:rPr>
        <w:t>mimetikus</w:t>
      </w:r>
      <w:proofErr w:type="spellEnd"/>
      <w:r w:rsidRPr="00343AF0">
        <w:rPr>
          <w:rFonts w:ascii="MiloPro" w:hAnsi="MiloPro" w:cstheme="minorHAnsi"/>
          <w:sz w:val="24"/>
          <w:szCs w:val="24"/>
        </w:rPr>
        <w:t xml:space="preserve"> szándék és narratív jelentés hiányában pusztán vizuális és esztétikai problémának tekinti a képzőművészeti alkotást. </w:t>
      </w:r>
      <w:proofErr w:type="spellStart"/>
      <w:r w:rsidRPr="00343AF0">
        <w:rPr>
          <w:rFonts w:ascii="MiloPro" w:hAnsi="MiloPro" w:cstheme="minorHAnsi"/>
          <w:sz w:val="24"/>
          <w:szCs w:val="24"/>
        </w:rPr>
        <w:t>Matzon</w:t>
      </w:r>
      <w:proofErr w:type="spellEnd"/>
      <w:r w:rsidRPr="00343AF0">
        <w:rPr>
          <w:rFonts w:ascii="MiloPro" w:hAnsi="MiloPro" w:cstheme="minorHAnsi"/>
          <w:sz w:val="24"/>
          <w:szCs w:val="24"/>
        </w:rPr>
        <w:t xml:space="preserve"> műveinek – vagy legalábbis művei jelentős részének – a formalitáson túlmutató jelentése is van. Számára a tér nem pusztán materiális, hanem </w:t>
      </w:r>
      <w:r w:rsidRPr="00343AF0">
        <w:rPr>
          <w:rFonts w:ascii="MiloPro" w:hAnsi="MiloPro" w:cstheme="minorHAnsi"/>
          <w:sz w:val="24"/>
          <w:szCs w:val="24"/>
        </w:rPr>
        <w:lastRenderedPageBreak/>
        <w:t xml:space="preserve">spirituális is. Amikor egy-egy műalkotás lehetséges terét keressük, szimbolikusan a létezés lehetőségei és korlátai után kutatunk.” </w:t>
      </w:r>
      <w:r>
        <w:rPr>
          <w:rFonts w:ascii="MiloPro" w:hAnsi="MiloPro" w:cstheme="minorHAnsi"/>
          <w:sz w:val="24"/>
          <w:szCs w:val="24"/>
        </w:rPr>
        <w:t>Jelen műalkotás a számok nélküli óralapra és a mutatók/nyilak által kijelölt – szellemi – topográfiai helyre is finoman utalva hasonló földi, egyben transzcendens vagy szimbolikus pontot jelöl ki, amely mindannyiunk számára találkozási pont lehet: téren, időben, transzcendensben.</w:t>
      </w:r>
    </w:p>
    <w:p w14:paraId="76C93964" w14:textId="77777777" w:rsidR="00343AF0" w:rsidRPr="00343AF0" w:rsidRDefault="00343AF0" w:rsidP="00343AF0">
      <w:pPr>
        <w:spacing w:after="0"/>
        <w:ind w:firstLine="708"/>
        <w:jc w:val="both"/>
        <w:rPr>
          <w:rFonts w:ascii="MiloPro" w:hAnsi="MiloPro" w:cstheme="minorHAnsi"/>
          <w:sz w:val="24"/>
          <w:szCs w:val="24"/>
        </w:rPr>
      </w:pPr>
      <w:proofErr w:type="spellStart"/>
      <w:r w:rsidRPr="00343AF0">
        <w:rPr>
          <w:rFonts w:ascii="MiloPro" w:hAnsi="MiloPro" w:cstheme="minorHAnsi"/>
          <w:sz w:val="24"/>
          <w:szCs w:val="24"/>
        </w:rPr>
        <w:t>Matzon</w:t>
      </w:r>
      <w:proofErr w:type="spellEnd"/>
      <w:r w:rsidRPr="00343AF0">
        <w:rPr>
          <w:rFonts w:ascii="MiloPro" w:hAnsi="MiloPro" w:cstheme="minorHAnsi"/>
          <w:sz w:val="24"/>
          <w:szCs w:val="24"/>
        </w:rPr>
        <w:t xml:space="preserve"> szellemi mesterének tekinti Konok Tamást, aki – a nagyapa, </w:t>
      </w:r>
      <w:proofErr w:type="spellStart"/>
      <w:r w:rsidRPr="00343AF0">
        <w:rPr>
          <w:rFonts w:ascii="MiloPro" w:hAnsi="MiloPro" w:cstheme="minorHAnsi"/>
          <w:sz w:val="24"/>
          <w:szCs w:val="24"/>
        </w:rPr>
        <w:t>Sándy</w:t>
      </w:r>
      <w:proofErr w:type="spellEnd"/>
      <w:r w:rsidRPr="00343AF0">
        <w:rPr>
          <w:rFonts w:ascii="MiloPro" w:hAnsi="MiloPro" w:cstheme="minorHAnsi"/>
          <w:sz w:val="24"/>
          <w:szCs w:val="24"/>
        </w:rPr>
        <w:t xml:space="preserve"> Gyula révén – közismerten építészeti </w:t>
      </w:r>
      <w:proofErr w:type="spellStart"/>
      <w:r w:rsidRPr="00343AF0">
        <w:rPr>
          <w:rFonts w:ascii="MiloPro" w:hAnsi="MiloPro" w:cstheme="minorHAnsi"/>
          <w:sz w:val="24"/>
          <w:szCs w:val="24"/>
        </w:rPr>
        <w:t>ihletettségű</w:t>
      </w:r>
      <w:proofErr w:type="spellEnd"/>
      <w:r w:rsidRPr="00343AF0">
        <w:rPr>
          <w:rFonts w:ascii="MiloPro" w:hAnsi="MiloPro" w:cstheme="minorHAnsi"/>
          <w:sz w:val="24"/>
          <w:szCs w:val="24"/>
        </w:rPr>
        <w:t>, lírai-transzcendens absztrakt festészetével és evangélikus egyházhoz kötődésével két nagy korábbi kiállítással és több műalkotással is jelen volt és van az evangélikus gyűjteményben. Sajnos már halála után vásárolta meg az evangélikus egyház a Múzeum számára a Nagyapám emlékére munkacímet viselő nagy vásznát, amely az egyház székházában</w:t>
      </w:r>
      <w:r>
        <w:rPr>
          <w:rFonts w:ascii="MiloPro" w:hAnsi="MiloPro" w:cstheme="minorHAnsi"/>
          <w:sz w:val="24"/>
          <w:szCs w:val="24"/>
        </w:rPr>
        <w:t xml:space="preserve"> – tehát az Esterházy Péter és Gitta Könyvtártól néhány méternyire –</w:t>
      </w:r>
      <w:r w:rsidRPr="00343AF0">
        <w:rPr>
          <w:rFonts w:ascii="MiloPro" w:hAnsi="MiloPro" w:cstheme="minorHAnsi"/>
          <w:sz w:val="24"/>
          <w:szCs w:val="24"/>
        </w:rPr>
        <w:t xml:space="preserve"> nyert elhelyezést. </w:t>
      </w:r>
    </w:p>
    <w:p w14:paraId="20ABB9B3" w14:textId="77777777" w:rsidR="00BF19D3" w:rsidRDefault="00343AF0" w:rsidP="00343AF0">
      <w:pPr>
        <w:spacing w:after="0"/>
        <w:ind w:firstLine="708"/>
        <w:jc w:val="both"/>
        <w:rPr>
          <w:rFonts w:ascii="MiloPro" w:hAnsi="MiloPro" w:cstheme="minorHAnsi"/>
          <w:sz w:val="24"/>
          <w:szCs w:val="24"/>
        </w:rPr>
      </w:pPr>
      <w:r w:rsidRPr="00343AF0">
        <w:rPr>
          <w:rFonts w:ascii="MiloPro" w:hAnsi="MiloPro" w:cstheme="minorHAnsi"/>
          <w:sz w:val="24"/>
          <w:szCs w:val="24"/>
        </w:rPr>
        <w:t xml:space="preserve">Az EOGY </w:t>
      </w:r>
      <w:proofErr w:type="spellStart"/>
      <w:r w:rsidRPr="00343AF0">
        <w:rPr>
          <w:rFonts w:ascii="MiloPro" w:hAnsi="MiloPro" w:cstheme="minorHAnsi"/>
          <w:sz w:val="24"/>
          <w:szCs w:val="24"/>
        </w:rPr>
        <w:t>különgyűjteményének</w:t>
      </w:r>
      <w:proofErr w:type="spellEnd"/>
      <w:r w:rsidRPr="00343AF0">
        <w:rPr>
          <w:rFonts w:ascii="MiloPro" w:hAnsi="MiloPro" w:cstheme="minorHAnsi"/>
          <w:sz w:val="24"/>
          <w:szCs w:val="24"/>
        </w:rPr>
        <w:t xml:space="preserve">, az Esterházy Péter és Gitta Könyvtár modern terének – amelyet a fenntartó egyház egyben evangélikus közművelődési és közösségi térként is aposztrofál – </w:t>
      </w:r>
      <w:proofErr w:type="spellStart"/>
      <w:r w:rsidRPr="00343AF0">
        <w:rPr>
          <w:rFonts w:ascii="MiloPro" w:hAnsi="MiloPro" w:cstheme="minorHAnsi"/>
          <w:sz w:val="24"/>
          <w:szCs w:val="24"/>
        </w:rPr>
        <w:t>entrée</w:t>
      </w:r>
      <w:proofErr w:type="spellEnd"/>
      <w:r w:rsidRPr="00343AF0">
        <w:rPr>
          <w:rFonts w:ascii="MiloPro" w:hAnsi="MiloPro" w:cstheme="minorHAnsi"/>
          <w:sz w:val="24"/>
          <w:szCs w:val="24"/>
        </w:rPr>
        <w:t>-ja</w:t>
      </w:r>
      <w:r>
        <w:rPr>
          <w:rFonts w:ascii="MiloPro" w:hAnsi="MiloPro" w:cstheme="minorHAnsi"/>
          <w:sz w:val="24"/>
          <w:szCs w:val="24"/>
        </w:rPr>
        <w:t xml:space="preserve"> lett a mű, ahogy terveztük is: találkozási pontot kínál </w:t>
      </w:r>
      <w:r w:rsidRPr="00343AF0">
        <w:rPr>
          <w:rFonts w:ascii="MiloPro" w:hAnsi="MiloPro" w:cstheme="minorHAnsi"/>
          <w:sz w:val="24"/>
          <w:szCs w:val="24"/>
        </w:rPr>
        <w:t>valódi és átvitt értelemben a múlt és a jelen, az ötszáz éves felekezet és a kortárs művészet és irodalom, a mesterek és a tanítványok, a kultúrafogyasztók és a teológusok – mindnyájunk számára.</w:t>
      </w:r>
    </w:p>
    <w:p w14:paraId="76FFD1FB" w14:textId="77777777" w:rsidR="00343AF0" w:rsidRDefault="00343AF0" w:rsidP="00343AF0">
      <w:pPr>
        <w:spacing w:after="0"/>
        <w:ind w:firstLine="708"/>
        <w:jc w:val="both"/>
        <w:rPr>
          <w:rFonts w:ascii="MiloPro" w:hAnsi="MiloPro" w:cstheme="minorHAnsi"/>
          <w:sz w:val="24"/>
          <w:szCs w:val="24"/>
        </w:rPr>
      </w:pPr>
    </w:p>
    <w:p w14:paraId="4F276EBD" w14:textId="77777777" w:rsidR="00343AF0" w:rsidRDefault="00343AF0" w:rsidP="00343AF0">
      <w:pPr>
        <w:spacing w:after="0"/>
        <w:ind w:firstLine="708"/>
        <w:jc w:val="both"/>
        <w:rPr>
          <w:rFonts w:ascii="MiloPro" w:hAnsi="MiloPro" w:cstheme="minorHAnsi"/>
          <w:sz w:val="24"/>
          <w:szCs w:val="24"/>
        </w:rPr>
      </w:pPr>
    </w:p>
    <w:p w14:paraId="36D01982" w14:textId="77777777" w:rsidR="00343AF0" w:rsidRDefault="00343AF0" w:rsidP="00343AF0">
      <w:pPr>
        <w:spacing w:after="0"/>
        <w:ind w:firstLine="708"/>
        <w:jc w:val="both"/>
        <w:rPr>
          <w:rFonts w:ascii="MiloPro" w:hAnsi="MiloPro" w:cstheme="minorHAnsi"/>
          <w:sz w:val="24"/>
          <w:szCs w:val="24"/>
        </w:rPr>
      </w:pPr>
      <w:r w:rsidRPr="00343AF0">
        <w:rPr>
          <w:rFonts w:ascii="MiloPro" w:hAnsi="MiloPro" w:cstheme="minorHAnsi"/>
          <w:noProof/>
          <w:sz w:val="24"/>
          <w:szCs w:val="24"/>
          <w:lang w:eastAsia="hu-HU"/>
        </w:rPr>
        <w:drawing>
          <wp:inline distT="0" distB="0" distL="0" distR="0" wp14:anchorId="2494B598" wp14:editId="78074F3F">
            <wp:extent cx="479656" cy="5427693"/>
            <wp:effectExtent l="2540" t="0" r="0" b="0"/>
            <wp:docPr id="8" name="Kép 8" descr="F:\2021_karantén\nka_matzon\elszámolás\matzon_leltá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21_karantén\nka_matzon\elszámolás\matzon_leltár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00421" cy="5662666"/>
                    </a:xfrm>
                    <a:prstGeom prst="rect">
                      <a:avLst/>
                    </a:prstGeom>
                    <a:noFill/>
                    <a:ln>
                      <a:noFill/>
                    </a:ln>
                  </pic:spPr>
                </pic:pic>
              </a:graphicData>
            </a:graphic>
          </wp:inline>
        </w:drawing>
      </w:r>
    </w:p>
    <w:p w14:paraId="686F69B0" w14:textId="77777777" w:rsidR="00343AF0" w:rsidRDefault="00343AF0" w:rsidP="00343AF0">
      <w:pPr>
        <w:spacing w:after="0"/>
        <w:ind w:firstLine="708"/>
        <w:jc w:val="both"/>
        <w:rPr>
          <w:rFonts w:ascii="MiloPro" w:hAnsi="MiloPro" w:cstheme="minorHAnsi"/>
          <w:sz w:val="24"/>
          <w:szCs w:val="24"/>
        </w:rPr>
      </w:pPr>
    </w:p>
    <w:p w14:paraId="1536807F" w14:textId="77777777" w:rsidR="00343AF0" w:rsidRDefault="00343AF0" w:rsidP="00343AF0">
      <w:pPr>
        <w:spacing w:after="0"/>
        <w:ind w:firstLine="708"/>
        <w:jc w:val="both"/>
        <w:rPr>
          <w:rFonts w:ascii="MiloPro" w:hAnsi="MiloPro" w:cstheme="minorHAnsi"/>
          <w:sz w:val="24"/>
          <w:szCs w:val="24"/>
        </w:rPr>
      </w:pPr>
      <w:r w:rsidRPr="00343AF0">
        <w:rPr>
          <w:rFonts w:ascii="MiloPro" w:hAnsi="MiloPro" w:cstheme="minorHAnsi"/>
          <w:noProof/>
          <w:sz w:val="24"/>
          <w:szCs w:val="24"/>
          <w:lang w:eastAsia="hu-HU"/>
        </w:rPr>
        <w:drawing>
          <wp:inline distT="0" distB="0" distL="0" distR="0" wp14:anchorId="4B782B95" wp14:editId="5C2CCB2B">
            <wp:extent cx="403899" cy="5431749"/>
            <wp:effectExtent l="952" t="0" r="0" b="0"/>
            <wp:docPr id="9" name="Kép 9" descr="F:\2021_karantén\nka_matzon\elszámolás\matzon_leltá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21_karantén\nka_matzon\elszámolás\matzon_leltár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436916" cy="5875771"/>
                    </a:xfrm>
                    <a:prstGeom prst="rect">
                      <a:avLst/>
                    </a:prstGeom>
                    <a:noFill/>
                    <a:ln>
                      <a:noFill/>
                    </a:ln>
                  </pic:spPr>
                </pic:pic>
              </a:graphicData>
            </a:graphic>
          </wp:inline>
        </w:drawing>
      </w:r>
    </w:p>
    <w:p w14:paraId="66EC4FC4" w14:textId="77777777" w:rsidR="00343AF0" w:rsidRDefault="00343AF0" w:rsidP="000E096A">
      <w:pPr>
        <w:spacing w:after="0"/>
        <w:ind w:firstLine="708"/>
        <w:jc w:val="both"/>
        <w:rPr>
          <w:rFonts w:ascii="MiloPro" w:hAnsi="MiloPro" w:cstheme="minorHAnsi"/>
          <w:sz w:val="24"/>
          <w:szCs w:val="24"/>
        </w:rPr>
      </w:pPr>
    </w:p>
    <w:p w14:paraId="12BD04EC" w14:textId="77777777" w:rsidR="00343AF0" w:rsidRDefault="00343AF0" w:rsidP="000E096A">
      <w:pPr>
        <w:spacing w:after="0"/>
        <w:ind w:firstLine="708"/>
        <w:jc w:val="both"/>
        <w:rPr>
          <w:rFonts w:ascii="MiloPro" w:hAnsi="MiloPro" w:cstheme="minorHAnsi"/>
          <w:sz w:val="24"/>
          <w:szCs w:val="24"/>
        </w:rPr>
      </w:pPr>
    </w:p>
    <w:p w14:paraId="787288BB" w14:textId="77777777" w:rsidR="00343AF0" w:rsidRDefault="00343AF0" w:rsidP="000E096A">
      <w:pPr>
        <w:spacing w:after="0"/>
        <w:ind w:firstLine="708"/>
        <w:jc w:val="both"/>
        <w:rPr>
          <w:rFonts w:ascii="MiloPro" w:hAnsi="MiloPro" w:cstheme="minorHAnsi"/>
          <w:sz w:val="24"/>
          <w:szCs w:val="24"/>
        </w:rPr>
      </w:pPr>
    </w:p>
    <w:p w14:paraId="5CF45436" w14:textId="77777777" w:rsidR="00BF19D3" w:rsidRDefault="00343AF0" w:rsidP="000E096A">
      <w:pPr>
        <w:spacing w:after="0"/>
        <w:ind w:firstLine="708"/>
        <w:jc w:val="both"/>
        <w:rPr>
          <w:rFonts w:ascii="MiloPro" w:hAnsi="MiloPro" w:cstheme="minorHAnsi"/>
          <w:sz w:val="24"/>
          <w:szCs w:val="24"/>
        </w:rPr>
      </w:pPr>
      <w:r>
        <w:rPr>
          <w:rFonts w:ascii="MiloPro" w:hAnsi="MiloPro" w:cstheme="minorHAnsi"/>
          <w:sz w:val="24"/>
          <w:szCs w:val="24"/>
        </w:rPr>
        <w:t>Budapest, 2022. ápr</w:t>
      </w:r>
      <w:r w:rsidR="000E096A">
        <w:rPr>
          <w:rFonts w:ascii="MiloPro" w:hAnsi="MiloPro" w:cstheme="minorHAnsi"/>
          <w:sz w:val="24"/>
          <w:szCs w:val="24"/>
        </w:rPr>
        <w:t>.</w:t>
      </w:r>
      <w:r>
        <w:rPr>
          <w:rFonts w:ascii="MiloPro" w:hAnsi="MiloPro" w:cstheme="minorHAnsi"/>
          <w:sz w:val="24"/>
          <w:szCs w:val="24"/>
        </w:rPr>
        <w:t xml:space="preserve"> 15.</w:t>
      </w:r>
    </w:p>
    <w:p w14:paraId="244F7336" w14:textId="77777777" w:rsidR="002A111C" w:rsidRPr="00CC02D8" w:rsidRDefault="002A111C" w:rsidP="000E096A">
      <w:pPr>
        <w:spacing w:after="0"/>
        <w:ind w:firstLine="708"/>
        <w:jc w:val="both"/>
        <w:rPr>
          <w:b/>
          <w:sz w:val="24"/>
        </w:rPr>
      </w:pPr>
    </w:p>
    <w:sectPr w:rsidR="002A111C" w:rsidRPr="00CC02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iloPro">
    <w:panose1 w:val="020B0504030101020102"/>
    <w:charset w:val="00"/>
    <w:family w:val="swiss"/>
    <w:notTrueType/>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2D8"/>
    <w:rsid w:val="000E096A"/>
    <w:rsid w:val="002A111C"/>
    <w:rsid w:val="00343AF0"/>
    <w:rsid w:val="004F53FD"/>
    <w:rsid w:val="00563949"/>
    <w:rsid w:val="006B2B83"/>
    <w:rsid w:val="00BF19D3"/>
    <w:rsid w:val="00C7353E"/>
    <w:rsid w:val="00CC02D8"/>
    <w:rsid w:val="00D5263F"/>
    <w:rsid w:val="00D57B88"/>
    <w:rsid w:val="00DC590C"/>
    <w:rsid w:val="00E30D9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2A638"/>
  <w15:chartTrackingRefBased/>
  <w15:docId w15:val="{40CD2EBC-6DBA-45F1-B993-A85B99E9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352</Words>
  <Characters>2434</Characters>
  <Application>Microsoft Office Word</Application>
  <DocSecurity>4</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Zászkaliczky Zsuzsa</dc:creator>
  <cp:keywords/>
  <dc:description/>
  <cp:lastModifiedBy>Evangélikus Országos Könyvtár</cp:lastModifiedBy>
  <cp:revision>2</cp:revision>
  <dcterms:created xsi:type="dcterms:W3CDTF">2022-04-26T13:18:00Z</dcterms:created>
  <dcterms:modified xsi:type="dcterms:W3CDTF">2022-04-26T13:18:00Z</dcterms:modified>
</cp:coreProperties>
</file>